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b/>
          <w:sz w:val="24"/>
          <w:lang w:val="ru-RU"/>
        </w:rPr>
      </w:pPr>
      <w:bookmarkStart w:id="0" w:name="block-20867348"/>
      <w:bookmarkEnd w:id="0"/>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 xml:space="preserve">Рабочая программа </w:t>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 xml:space="preserve">учебного предмета </w:t>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«Геометрия»</w:t>
      </w:r>
    </w:p>
    <w:p>
      <w:pPr>
        <w:pStyle w:val="Normal"/>
        <w:spacing w:lineRule="auto" w:line="360" w:before="0" w:after="0"/>
        <w:jc w:val="center"/>
        <w:rPr>
          <w:rFonts w:ascii="Times New Roman" w:hAnsi="Times New Roman" w:cs="Times New Roman"/>
          <w:b/>
          <w:b/>
          <w:sz w:val="44"/>
          <w:szCs w:val="44"/>
          <w:lang w:val="ru-RU"/>
        </w:rPr>
      </w:pPr>
      <w:r>
        <w:rPr>
          <w:rFonts w:cs="Times New Roman" w:ascii="Times New Roman" w:hAnsi="Times New Roman"/>
          <w:b/>
          <w:sz w:val="44"/>
          <w:szCs w:val="44"/>
          <w:lang w:val="ru-RU"/>
        </w:rPr>
        <w:t xml:space="preserve"> </w:t>
      </w:r>
      <w:r>
        <w:rPr>
          <w:rFonts w:cs="Times New Roman" w:ascii="Times New Roman" w:hAnsi="Times New Roman"/>
          <w:b/>
          <w:sz w:val="44"/>
          <w:szCs w:val="44"/>
          <w:lang w:val="ru-RU"/>
        </w:rPr>
        <w:t>Основное  общее образование</w:t>
      </w:r>
    </w:p>
    <w:p>
      <w:pPr>
        <w:pStyle w:val="Normal"/>
        <w:spacing w:lineRule="auto" w:line="360" w:before="0" w:after="0"/>
        <w:jc w:val="center"/>
        <w:rPr>
          <w:rFonts w:ascii="Times New Roman" w:hAnsi="Times New Roman" w:cs="Times New Roman"/>
          <w:b/>
          <w:b/>
          <w:sz w:val="44"/>
          <w:szCs w:val="44"/>
          <w:lang w:val="ru-RU"/>
        </w:rPr>
      </w:pPr>
      <w:r>
        <w:rPr>
          <w:rFonts w:cs="Times New Roman" w:ascii="Times New Roman" w:hAnsi="Times New Roman"/>
          <w:b/>
          <w:sz w:val="44"/>
          <w:szCs w:val="44"/>
          <w:lang w:val="ru-RU"/>
        </w:rPr>
      </w:r>
    </w:p>
    <w:p>
      <w:pPr>
        <w:pStyle w:val="Normal"/>
        <w:spacing w:lineRule="auto" w:line="360" w:before="0" w:after="0"/>
        <w:jc w:val="center"/>
        <w:rPr>
          <w:lang w:val="ru-RU"/>
        </w:rPr>
      </w:pPr>
      <w:r>
        <w:rPr>
          <w:rFonts w:cs="Times New Roman" w:ascii="Times New Roman" w:hAnsi="Times New Roman"/>
          <w:b/>
          <w:sz w:val="44"/>
          <w:szCs w:val="44"/>
          <w:lang w:val="ru-RU"/>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начальных классов</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left="120" w:hanging="0"/>
        <w:jc w:val="center"/>
        <w:rPr>
          <w:lang w:val="ru-RU"/>
        </w:rPr>
      </w:pPr>
      <w:bookmarkStart w:id="1" w:name="block-20867348"/>
      <w:bookmarkStart w:id="2" w:name="block-20867349"/>
      <w:bookmarkEnd w:id="1"/>
      <w:bookmarkEnd w:id="2"/>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pStyle w:val="Normal"/>
        <w:spacing w:lineRule="auto" w:line="264" w:before="0" w:after="0"/>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pStyle w:val="Normal"/>
        <w:spacing w:lineRule="auto" w:line="264" w:before="0" w:after="0"/>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w:t>
      </w:r>
      <w:bookmarkStart w:id="3"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w:t>
      </w:r>
      <w:r>
        <w:rPr>
          <w:rFonts w:ascii="Times New Roman" w:hAnsi="Times New Roman"/>
          <w:color w:val="000000"/>
          <w:sz w:val="28"/>
          <w:lang w:val="ru-RU"/>
        </w:rPr>
        <w:t>6</w:t>
      </w:r>
      <w:r>
        <w:rPr>
          <w:rFonts w:ascii="Times New Roman" w:hAnsi="Times New Roman"/>
          <w:color w:val="000000"/>
          <w:sz w:val="28"/>
          <w:lang w:val="ru-RU"/>
        </w:rPr>
        <w:t xml:space="preserve"> часов (2 часа в неделю).</w:t>
      </w:r>
      <w:bookmarkEnd w:id="3"/>
      <w:r>
        <w:rPr>
          <w:rFonts w:ascii="Times New Roman" w:hAnsi="Times New Roman"/>
          <w:color w:val="000000"/>
          <w:sz w:val="28"/>
          <w:lang w:val="ru-RU"/>
        </w:rPr>
        <w:t>‌‌</w:t>
      </w:r>
    </w:p>
    <w:p>
      <w:pPr>
        <w:pStyle w:val="Normal"/>
        <w:spacing w:lineRule="auto" w:line="264" w:before="0" w:after="0"/>
        <w:ind w:left="120" w:hanging="0"/>
        <w:jc w:val="center"/>
        <w:rPr>
          <w:lang w:val="ru-RU"/>
        </w:rPr>
      </w:pPr>
      <w:bookmarkStart w:id="4" w:name="block-20867349"/>
      <w:bookmarkStart w:id="5" w:name="block-20867346"/>
      <w:bookmarkEnd w:id="4"/>
      <w:bookmarkEnd w:id="5"/>
      <w:r>
        <w:rPr>
          <w:rFonts w:ascii="Times New Roman" w:hAnsi="Times New Roman"/>
          <w:b/>
          <w:color w:val="000000"/>
          <w:sz w:val="28"/>
          <w:lang w:val="ru-RU"/>
        </w:rPr>
        <w:t>СОДЕРЖАНИЕ ОБУЧЕНИЯ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7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pStyle w:val="Normal"/>
        <w:spacing w:lineRule="auto" w:line="264" w:before="0" w:after="0"/>
        <w:ind w:firstLine="600"/>
        <w:jc w:val="both"/>
        <w:rPr>
          <w:lang w:val="ru-RU"/>
        </w:rPr>
      </w:pPr>
      <w:r>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pPr>
        <w:pStyle w:val="Normal"/>
        <w:spacing w:lineRule="auto" w:line="264" w:before="0" w:after="0"/>
        <w:ind w:firstLine="600"/>
        <w:jc w:val="both"/>
        <w:rPr>
          <w:lang w:val="ru-RU"/>
        </w:rPr>
      </w:pPr>
      <w:r>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pPr>
        <w:pStyle w:val="Normal"/>
        <w:spacing w:lineRule="auto" w:line="264" w:before="0" w:after="0"/>
        <w:ind w:firstLine="600"/>
        <w:jc w:val="both"/>
        <w:rPr>
          <w:lang w:val="ru-RU"/>
        </w:rPr>
      </w:pPr>
      <w:r>
        <w:rPr>
          <w:rFonts w:ascii="Times New Roman" w:hAnsi="Times New Roman"/>
          <w:color w:val="000000"/>
          <w:sz w:val="28"/>
          <w:lang w:val="ru-RU"/>
        </w:rPr>
        <w:t>Равнобедренный и равносторонний треугольники. Неравенство треугольника.</w:t>
      </w:r>
    </w:p>
    <w:p>
      <w:pPr>
        <w:pStyle w:val="Normal"/>
        <w:spacing w:lineRule="auto" w:line="264" w:before="0" w:after="0"/>
        <w:ind w:firstLine="600"/>
        <w:jc w:val="both"/>
        <w:rPr>
          <w:lang w:val="ru-RU"/>
        </w:rPr>
      </w:pPr>
      <w:r>
        <w:rPr>
          <w:rFonts w:ascii="Times New Roman" w:hAnsi="Times New Roman"/>
          <w:color w:val="000000"/>
          <w:sz w:val="28"/>
          <w:lang w:val="ru-RU"/>
        </w:rPr>
        <w:t>Свойства и признаки равнобедренного треугольника. Признаки равенства треугольников.</w:t>
      </w:r>
    </w:p>
    <w:p>
      <w:pPr>
        <w:pStyle w:val="Normal"/>
        <w:spacing w:lineRule="auto" w:line="264" w:before="0" w:after="0"/>
        <w:ind w:firstLine="600"/>
        <w:jc w:val="both"/>
        <w:rPr>
          <w:lang w:val="ru-RU"/>
        </w:rPr>
      </w:pPr>
      <w:r>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pPr>
        <w:pStyle w:val="Normal"/>
        <w:spacing w:lineRule="auto" w:line="264" w:before="0" w:after="0"/>
        <w:ind w:firstLine="600"/>
        <w:jc w:val="both"/>
        <w:rPr>
          <w:lang w:val="ru-RU"/>
        </w:rPr>
      </w:pPr>
      <w:r>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pStyle w:val="Normal"/>
        <w:spacing w:lineRule="auto" w:line="264" w:before="0" w:after="0"/>
        <w:ind w:firstLine="600"/>
        <w:jc w:val="both"/>
        <w:rPr>
          <w:lang w:val="ru-RU"/>
        </w:rPr>
      </w:pPr>
      <w:r>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pStyle w:val="Normal"/>
        <w:spacing w:lineRule="auto" w:line="264" w:before="0" w:after="0"/>
        <w:ind w:firstLine="600"/>
        <w:jc w:val="both"/>
        <w:rPr>
          <w:lang w:val="ru-RU"/>
        </w:rPr>
      </w:pPr>
      <w:r>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pPr>
        <w:pStyle w:val="Normal"/>
        <w:spacing w:lineRule="auto" w:line="264" w:before="0" w:after="0"/>
        <w:ind w:firstLine="600"/>
        <w:jc w:val="both"/>
        <w:rPr>
          <w:lang w:val="ru-RU"/>
        </w:rPr>
      </w:pPr>
      <w:r>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pStyle w:val="Normal"/>
        <w:spacing w:lineRule="auto" w:line="264" w:before="0" w:after="0"/>
        <w:ind w:left="120" w:hanging="0"/>
        <w:jc w:val="both"/>
        <w:rPr>
          <w:lang w:val="ru-RU"/>
        </w:rPr>
      </w:pPr>
      <w:r>
        <w:rPr>
          <w:rFonts w:ascii="Times New Roman" w:hAnsi="Times New Roman"/>
          <w:b/>
          <w:color w:val="000000"/>
          <w:sz w:val="28"/>
          <w:lang w:val="ru-RU"/>
        </w:rPr>
        <w:t>8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pStyle w:val="Normal"/>
        <w:spacing w:lineRule="auto" w:line="264" w:before="0" w:after="0"/>
        <w:ind w:firstLine="600"/>
        <w:jc w:val="both"/>
        <w:rPr>
          <w:lang w:val="ru-RU"/>
        </w:rPr>
      </w:pPr>
      <w:r>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pPr>
        <w:pStyle w:val="Normal"/>
        <w:spacing w:lineRule="auto" w:line="264" w:before="0" w:after="0"/>
        <w:ind w:firstLine="600"/>
        <w:jc w:val="both"/>
        <w:rPr>
          <w:lang w:val="ru-RU"/>
        </w:rPr>
      </w:pPr>
      <w:r>
        <w:rPr>
          <w:rFonts w:ascii="Times New Roman" w:hAnsi="Times New Roman"/>
          <w:color w:val="000000"/>
          <w:sz w:val="28"/>
          <w:lang w:val="ru-RU"/>
        </w:rPr>
        <w:t>Средние линии треугольника и трапеции. Центр масс треугольника.</w:t>
      </w:r>
    </w:p>
    <w:p>
      <w:pPr>
        <w:pStyle w:val="Normal"/>
        <w:spacing w:lineRule="auto" w:line="264" w:before="0" w:after="0"/>
        <w:ind w:firstLine="600"/>
        <w:jc w:val="both"/>
        <w:rPr>
          <w:lang w:val="ru-RU"/>
        </w:rPr>
      </w:pPr>
      <w:r>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pStyle w:val="Normal"/>
        <w:spacing w:lineRule="auto" w:line="264" w:before="0" w:after="0"/>
        <w:ind w:firstLine="600"/>
        <w:jc w:val="both"/>
        <w:rPr>
          <w:lang w:val="ru-RU"/>
        </w:rPr>
      </w:pPr>
      <w:r>
        <w:rPr>
          <w:rFonts w:ascii="Times New Roman" w:hAnsi="Times New Roman"/>
          <w:color w:val="000000"/>
          <w:sz w:val="28"/>
          <w:lang w:val="ru-RU"/>
        </w:rPr>
        <w:t>Вычисление площадей треугольников и многоугольников на клетчатой бумаге.</w:t>
      </w:r>
    </w:p>
    <w:p>
      <w:pPr>
        <w:pStyle w:val="Normal"/>
        <w:spacing w:lineRule="auto" w:line="264" w:before="0" w:after="0"/>
        <w:ind w:firstLine="600"/>
        <w:jc w:val="both"/>
        <w:rPr>
          <w:lang w:val="ru-RU"/>
        </w:rPr>
      </w:pPr>
      <w:r>
        <w:rPr>
          <w:rFonts w:ascii="Times New Roman" w:hAnsi="Times New Roman"/>
          <w:color w:val="000000"/>
          <w:sz w:val="28"/>
          <w:lang w:val="ru-RU"/>
        </w:rPr>
        <w:t>Теорема Пифагора. Применение теоремы Пифагора при решении практических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pStyle w:val="Normal"/>
        <w:spacing w:lineRule="auto" w:line="264" w:before="0" w:after="0"/>
        <w:ind w:firstLine="600"/>
        <w:jc w:val="both"/>
        <w:rPr>
          <w:lang w:val="ru-RU"/>
        </w:rPr>
      </w:pPr>
      <w:r>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pStyle w:val="Normal"/>
        <w:spacing w:lineRule="auto" w:line="264" w:before="0" w:after="0"/>
        <w:ind w:left="120" w:hanging="0"/>
        <w:jc w:val="both"/>
        <w:rPr>
          <w:lang w:val="ru-RU"/>
        </w:rPr>
      </w:pPr>
      <w:r>
        <w:rPr>
          <w:rFonts w:ascii="Times New Roman" w:hAnsi="Times New Roman"/>
          <w:b/>
          <w:color w:val="000000"/>
          <w:sz w:val="28"/>
          <w:lang w:val="ru-RU"/>
        </w:rPr>
        <w:t>9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Pr>
          <w:rFonts w:ascii="Times New Roman" w:hAnsi="Times New Roman"/>
          <w:color w:val="000000"/>
          <w:sz w:val="28"/>
          <w:lang w:val="ru-RU"/>
        </w:rPr>
        <w:t>Формулы приведения.</w:t>
      </w:r>
    </w:p>
    <w:p>
      <w:pPr>
        <w:pStyle w:val="Normal"/>
        <w:spacing w:lineRule="auto" w:line="264" w:before="0" w:after="0"/>
        <w:ind w:firstLine="600"/>
        <w:jc w:val="both"/>
        <w:rPr>
          <w:lang w:val="ru-RU"/>
        </w:rPr>
      </w:pPr>
      <w:r>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pStyle w:val="Normal"/>
        <w:spacing w:lineRule="auto" w:line="264" w:before="0" w:after="0"/>
        <w:ind w:firstLine="600"/>
        <w:jc w:val="both"/>
        <w:rPr>
          <w:lang w:val="ru-RU"/>
        </w:rPr>
      </w:pPr>
      <w:r>
        <w:rPr>
          <w:rFonts w:ascii="Times New Roman" w:hAnsi="Times New Roman"/>
          <w:color w:val="000000"/>
          <w:sz w:val="28"/>
          <w:lang w:val="ru-RU"/>
        </w:rPr>
        <w:t>Преобразование подобия. Подобие соответственных элементов.</w:t>
      </w:r>
    </w:p>
    <w:p>
      <w:pPr>
        <w:pStyle w:val="Normal"/>
        <w:spacing w:lineRule="auto" w:line="264" w:before="0" w:after="0"/>
        <w:ind w:firstLine="600"/>
        <w:jc w:val="both"/>
        <w:rPr>
          <w:lang w:val="ru-RU"/>
        </w:rPr>
      </w:pPr>
      <w:r>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pPr>
        <w:pStyle w:val="Normal"/>
        <w:spacing w:lineRule="auto" w:line="264" w:before="0" w:after="0"/>
        <w:ind w:firstLine="600"/>
        <w:jc w:val="both"/>
        <w:rPr>
          <w:lang w:val="ru-RU"/>
        </w:rPr>
      </w:pPr>
      <w:r>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pStyle w:val="Normal"/>
        <w:spacing w:lineRule="auto" w:line="264" w:before="0" w:after="0"/>
        <w:ind w:firstLine="600"/>
        <w:jc w:val="both"/>
        <w:rPr>
          <w:lang w:val="ru-RU"/>
        </w:rPr>
      </w:pPr>
      <w:r>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pStyle w:val="Normal"/>
        <w:spacing w:lineRule="auto" w:line="264" w:before="0" w:after="0"/>
        <w:ind w:firstLine="600"/>
        <w:jc w:val="both"/>
        <w:rPr>
          <w:lang w:val="ru-RU"/>
        </w:rPr>
      </w:pPr>
      <w:r>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pPr>
        <w:pStyle w:val="Normal"/>
        <w:spacing w:lineRule="auto" w:line="264" w:before="0" w:after="0"/>
        <w:ind w:left="120" w:hanging="0"/>
        <w:jc w:val="center"/>
        <w:rPr>
          <w:lang w:val="ru-RU"/>
        </w:rPr>
      </w:pPr>
      <w:bookmarkStart w:id="6" w:name="block-20867346"/>
      <w:bookmarkStart w:id="7" w:name="block-20867347"/>
      <w:bookmarkEnd w:id="6"/>
      <w:bookmarkEnd w:id="7"/>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pPr>
        <w:pStyle w:val="Normal"/>
        <w:spacing w:lineRule="auto" w:line="264" w:before="0" w:after="0"/>
        <w:ind w:firstLine="600"/>
        <w:jc w:val="both"/>
        <w:rPr>
          <w:lang w:val="ru-RU"/>
        </w:rPr>
      </w:pPr>
      <w:r>
        <w:rPr>
          <w:rFonts w:ascii="Times New Roman" w:hAnsi="Times New Roman"/>
          <w:b/>
          <w:color w:val="000000"/>
          <w:sz w:val="28"/>
          <w:lang w:val="ru-RU"/>
        </w:rPr>
        <w:t>1) патриотическое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pStyle w:val="Normal"/>
        <w:spacing w:lineRule="auto" w:line="264" w:before="0" w:after="0"/>
        <w:ind w:firstLine="600"/>
        <w:jc w:val="both"/>
        <w:rPr>
          <w:lang w:val="ru-RU"/>
        </w:rPr>
      </w:pPr>
      <w:r>
        <w:rPr>
          <w:rFonts w:ascii="Times New Roman" w:hAnsi="Times New Roman"/>
          <w:b/>
          <w:color w:val="000000"/>
          <w:sz w:val="28"/>
          <w:lang w:val="ru-RU"/>
        </w:rPr>
        <w:t>2) гражданское и духовно-нравственное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pStyle w:val="Normal"/>
        <w:spacing w:lineRule="auto" w:line="264" w:before="0" w:after="0"/>
        <w:ind w:firstLine="600"/>
        <w:jc w:val="both"/>
        <w:rPr>
          <w:lang w:val="ru-RU"/>
        </w:rPr>
      </w:pPr>
      <w:r>
        <w:rPr>
          <w:rFonts w:ascii="Times New Roman" w:hAnsi="Times New Roman"/>
          <w:b/>
          <w:color w:val="000000"/>
          <w:sz w:val="28"/>
          <w:lang w:val="ru-RU"/>
        </w:rPr>
        <w:t>3) трудовое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pStyle w:val="Normal"/>
        <w:spacing w:lineRule="auto" w:line="264" w:before="0" w:after="0"/>
        <w:ind w:firstLine="600"/>
        <w:jc w:val="both"/>
        <w:rPr>
          <w:lang w:val="ru-RU"/>
        </w:rPr>
      </w:pPr>
      <w:r>
        <w:rPr>
          <w:rFonts w:ascii="Times New Roman" w:hAnsi="Times New Roman"/>
          <w:b/>
          <w:color w:val="000000"/>
          <w:sz w:val="28"/>
          <w:lang w:val="ru-RU"/>
        </w:rPr>
        <w:t>4) эстетическое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pStyle w:val="Normal"/>
        <w:spacing w:lineRule="auto" w:line="264" w:before="0" w:after="0"/>
        <w:ind w:firstLine="600"/>
        <w:jc w:val="both"/>
        <w:rPr>
          <w:lang w:val="ru-RU"/>
        </w:rPr>
      </w:pPr>
      <w:r>
        <w:rPr>
          <w:rFonts w:ascii="Times New Roman" w:hAnsi="Times New Roman"/>
          <w:b/>
          <w:color w:val="000000"/>
          <w:sz w:val="28"/>
          <w:lang w:val="ru-RU"/>
        </w:rPr>
        <w:t>5) ценности научного познания:</w:t>
      </w:r>
    </w:p>
    <w:p>
      <w:pPr>
        <w:pStyle w:val="Normal"/>
        <w:spacing w:lineRule="auto" w:line="264" w:before="0" w:after="0"/>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pStyle w:val="Normal"/>
        <w:spacing w:lineRule="auto" w:line="264" w:before="0" w:after="0"/>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pPr>
        <w:pStyle w:val="Normal"/>
        <w:spacing w:lineRule="auto" w:line="264" w:before="0" w:after="0"/>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pStyle w:val="Normal"/>
        <w:spacing w:lineRule="auto" w:line="264" w:before="0" w:after="0"/>
        <w:ind w:firstLine="600"/>
        <w:jc w:val="both"/>
        <w:rPr>
          <w:lang w:val="ru-RU"/>
        </w:rPr>
      </w:pPr>
      <w:r>
        <w:rPr>
          <w:rFonts w:ascii="Times New Roman" w:hAnsi="Times New Roman"/>
          <w:b/>
          <w:color w:val="000000"/>
          <w:sz w:val="28"/>
          <w:lang w:val="ru-RU"/>
        </w:rPr>
        <w:t>7) экологическое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pStyle w:val="Normal"/>
        <w:spacing w:lineRule="auto" w:line="264" w:before="0" w:after="0"/>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pPr>
        <w:pStyle w:val="Normal"/>
        <w:spacing w:lineRule="auto" w:line="264" w:before="0" w:after="0"/>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pStyle w:val="Normal"/>
        <w:spacing w:lineRule="auto" w:line="264" w:before="0" w:after="0"/>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Базовые логические действия:</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pStyle w:val="Normal"/>
        <w:numPr>
          <w:ilvl w:val="0"/>
          <w:numId w:val="1"/>
        </w:numPr>
        <w:spacing w:lineRule="auto" w:line="264" w:before="0" w:after="0"/>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auto" w:line="264" w:before="0" w:after="0"/>
        <w:ind w:left="120" w:hanging="0"/>
        <w:jc w:val="both"/>
        <w:rPr/>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pStyle w:val="Normal"/>
        <w:numPr>
          <w:ilvl w:val="0"/>
          <w:numId w:val="2"/>
        </w:numPr>
        <w:spacing w:lineRule="auto" w:line="264" w:before="0" w:after="0"/>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Работа с информацией:</w:t>
      </w:r>
    </w:p>
    <w:p>
      <w:pPr>
        <w:pStyle w:val="Normal"/>
        <w:numPr>
          <w:ilvl w:val="0"/>
          <w:numId w:val="3"/>
        </w:numPr>
        <w:spacing w:lineRule="auto" w:line="264" w:before="0" w:after="0"/>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pStyle w:val="Normal"/>
        <w:numPr>
          <w:ilvl w:val="0"/>
          <w:numId w:val="3"/>
        </w:numPr>
        <w:spacing w:lineRule="auto" w:line="264" w:before="0" w:after="0"/>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pStyle w:val="Normal"/>
        <w:numPr>
          <w:ilvl w:val="0"/>
          <w:numId w:val="3"/>
        </w:numPr>
        <w:spacing w:lineRule="auto" w:line="264" w:before="0" w:after="0"/>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Коммуникативные универсальные учебные действия:</w:t>
      </w:r>
    </w:p>
    <w:p>
      <w:pPr>
        <w:pStyle w:val="Normal"/>
        <w:numPr>
          <w:ilvl w:val="0"/>
          <w:numId w:val="4"/>
        </w:numPr>
        <w:spacing w:lineRule="auto" w:line="264" w:before="0" w:after="0"/>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pStyle w:val="Normal"/>
        <w:numPr>
          <w:ilvl w:val="0"/>
          <w:numId w:val="4"/>
        </w:numPr>
        <w:spacing w:lineRule="auto" w:line="264" w:before="0" w:after="0"/>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numPr>
          <w:ilvl w:val="0"/>
          <w:numId w:val="4"/>
        </w:numPr>
        <w:spacing w:lineRule="auto" w:line="264" w:before="0" w:after="0"/>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numPr>
          <w:ilvl w:val="0"/>
          <w:numId w:val="4"/>
        </w:numPr>
        <w:spacing w:lineRule="auto" w:line="264" w:before="0" w:after="0"/>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pPr>
        <w:pStyle w:val="Normal"/>
        <w:numPr>
          <w:ilvl w:val="0"/>
          <w:numId w:val="4"/>
        </w:numPr>
        <w:spacing w:lineRule="auto" w:line="264" w:before="0" w:after="0"/>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numPr>
          <w:ilvl w:val="0"/>
          <w:numId w:val="4"/>
        </w:numPr>
        <w:spacing w:lineRule="auto" w:line="264" w:before="0" w:after="0"/>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Самоорганизация:</w:t>
      </w:r>
    </w:p>
    <w:p>
      <w:pPr>
        <w:pStyle w:val="Normal"/>
        <w:numPr>
          <w:ilvl w:val="0"/>
          <w:numId w:val="5"/>
        </w:numPr>
        <w:spacing w:lineRule="auto" w:line="264" w:before="0" w:after="0"/>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auto" w:line="264" w:before="0" w:after="0"/>
        <w:ind w:left="120" w:hanging="0"/>
        <w:jc w:val="both"/>
        <w:rPr>
          <w:rFonts w:ascii="Times New Roman" w:hAnsi="Times New Roman"/>
          <w:b/>
          <w:b/>
          <w:color w:val="000000"/>
          <w:sz w:val="28"/>
        </w:rPr>
      </w:pPr>
      <w:r>
        <w:rPr>
          <w:rFonts w:ascii="Times New Roman" w:hAnsi="Times New Roman"/>
          <w:b/>
          <w:color w:val="000000"/>
          <w:sz w:val="28"/>
        </w:rPr>
        <w:t>Самоконтроль, эмоциональный интеллект:</w:t>
      </w:r>
    </w:p>
    <w:p>
      <w:pPr>
        <w:pStyle w:val="Normal"/>
        <w:numPr>
          <w:ilvl w:val="0"/>
          <w:numId w:val="6"/>
        </w:numPr>
        <w:spacing w:lineRule="auto" w:line="264" w:before="0" w:after="0"/>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pPr>
        <w:pStyle w:val="Normal"/>
        <w:numPr>
          <w:ilvl w:val="0"/>
          <w:numId w:val="6"/>
        </w:numPr>
        <w:spacing w:lineRule="auto" w:line="264" w:before="0" w:after="0"/>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pStyle w:val="Normal"/>
        <w:numPr>
          <w:ilvl w:val="0"/>
          <w:numId w:val="6"/>
        </w:numPr>
        <w:spacing w:lineRule="auto" w:line="264" w:before="0" w:after="0"/>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bookmarkStart w:id="8" w:name="_Toc124426249"/>
      <w:bookmarkEnd w:id="8"/>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7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pStyle w:val="Normal"/>
        <w:spacing w:lineRule="auto" w:line="264" w:before="0" w:after="0"/>
        <w:ind w:firstLine="600"/>
        <w:jc w:val="both"/>
        <w:rPr>
          <w:lang w:val="ru-RU"/>
        </w:rPr>
      </w:pPr>
      <w:r>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pStyle w:val="Normal"/>
        <w:spacing w:lineRule="auto" w:line="264" w:before="0" w:after="0"/>
        <w:ind w:firstLine="600"/>
        <w:jc w:val="both"/>
        <w:rPr>
          <w:lang w:val="ru-RU"/>
        </w:rPr>
      </w:pPr>
      <w:r>
        <w:rPr>
          <w:rFonts w:ascii="Times New Roman" w:hAnsi="Times New Roman"/>
          <w:color w:val="000000"/>
          <w:sz w:val="28"/>
          <w:lang w:val="ru-RU"/>
        </w:rPr>
        <w:t>Строить чертежи к геометрическим задачам.</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pPr>
        <w:pStyle w:val="Normal"/>
        <w:spacing w:lineRule="auto" w:line="264" w:before="0" w:after="0"/>
        <w:ind w:firstLine="600"/>
        <w:jc w:val="both"/>
        <w:rPr>
          <w:lang w:val="ru-RU"/>
        </w:rPr>
      </w:pPr>
      <w:r>
        <w:rPr>
          <w:rFonts w:ascii="Times New Roman" w:hAnsi="Times New Roman"/>
          <w:color w:val="000000"/>
          <w:sz w:val="28"/>
          <w:lang w:val="ru-RU"/>
        </w:rPr>
        <w:t>Проводить логические рассуждения с использованием геометрических теорем.</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pStyle w:val="Normal"/>
        <w:spacing w:lineRule="auto" w:line="264" w:before="0" w:after="0"/>
        <w:ind w:firstLine="600"/>
        <w:jc w:val="both"/>
        <w:rPr>
          <w:lang w:val="ru-RU"/>
        </w:rPr>
      </w:pPr>
      <w:r>
        <w:rPr>
          <w:rFonts w:ascii="Times New Roman" w:hAnsi="Times New Roman"/>
          <w:color w:val="000000"/>
          <w:sz w:val="28"/>
          <w:lang w:val="ru-RU"/>
        </w:rPr>
        <w:t>Решать задачи на клетчатой бумаге.</w:t>
      </w:r>
    </w:p>
    <w:p>
      <w:pPr>
        <w:pStyle w:val="Normal"/>
        <w:spacing w:lineRule="auto" w:line="264" w:before="0" w:after="0"/>
        <w:ind w:firstLine="600"/>
        <w:jc w:val="both"/>
        <w:rPr>
          <w:lang w:val="ru-RU"/>
        </w:rPr>
      </w:pPr>
      <w:r>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pStyle w:val="Normal"/>
        <w:spacing w:lineRule="auto" w:line="264" w:before="0" w:after="0"/>
        <w:ind w:firstLine="600"/>
        <w:jc w:val="both"/>
        <w:rPr>
          <w:lang w:val="ru-RU"/>
        </w:rPr>
      </w:pPr>
      <w:r>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pPr>
        <w:pStyle w:val="Normal"/>
        <w:spacing w:lineRule="auto" w:line="264" w:before="0" w:after="0"/>
        <w:ind w:firstLine="600"/>
        <w:jc w:val="both"/>
        <w:rPr>
          <w:lang w:val="ru-RU"/>
        </w:rPr>
      </w:pPr>
      <w:r>
        <w:rPr>
          <w:rFonts w:ascii="Times New Roman" w:hAnsi="Times New Roman"/>
          <w:color w:val="000000"/>
          <w:sz w:val="28"/>
          <w:lang w:val="ru-RU"/>
        </w:rPr>
        <w:t>Проводить основные геометрические построения с помощью циркуля и линейки.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Применять признаки подобия треугольников в решении геометрических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pPr>
        <w:pStyle w:val="Normal"/>
        <w:spacing w:lineRule="auto" w:line="264" w:before="0" w:after="0"/>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9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pStyle w:val="Normal"/>
        <w:spacing w:lineRule="auto" w:line="264" w:before="0" w:after="0"/>
        <w:ind w:firstLine="600"/>
        <w:jc w:val="both"/>
        <w:rPr>
          <w:lang w:val="ru-RU"/>
        </w:rPr>
      </w:pPr>
      <w:r>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pStyle w:val="Normal"/>
        <w:spacing w:lineRule="auto" w:line="264" w:before="0" w:after="0"/>
        <w:ind w:firstLine="600"/>
        <w:jc w:val="both"/>
        <w:rPr>
          <w:lang w:val="ru-RU"/>
        </w:rPr>
      </w:pPr>
      <w:r>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pPr>
        <w:pStyle w:val="Normal"/>
        <w:spacing w:before="0" w:after="0"/>
        <w:ind w:left="120" w:hanging="0"/>
        <w:jc w:val="center"/>
        <w:rPr/>
      </w:pPr>
      <w:bookmarkStart w:id="9" w:name="block-20867347"/>
      <w:bookmarkStart w:id="10" w:name="block-20867350"/>
      <w:bookmarkEnd w:id="9"/>
      <w:bookmarkEnd w:id="1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7 КЛАСС </w:t>
      </w:r>
    </w:p>
    <w:tbl>
      <w:tblPr>
        <w:tblW w:w="13872" w:type="dxa"/>
        <w:jc w:val="left"/>
        <w:tblInd w:w="-8" w:type="dxa"/>
        <w:tblLayout w:type="fixed"/>
        <w:tblCellMar>
          <w:top w:w="50" w:type="dxa"/>
          <w:left w:w="100" w:type="dxa"/>
          <w:bottom w:w="0" w:type="dxa"/>
          <w:right w:w="108" w:type="dxa"/>
        </w:tblCellMar>
        <w:tblLook w:val="04a0"/>
      </w:tblPr>
      <w:tblGrid>
        <w:gridCol w:w="1179"/>
        <w:gridCol w:w="4532"/>
        <w:gridCol w:w="1598"/>
        <w:gridCol w:w="1840"/>
        <w:gridCol w:w="1911"/>
        <w:gridCol w:w="2811"/>
      </w:tblGrid>
      <w:tr>
        <w:trPr>
          <w:trHeight w:val="144" w:hRule="atLeast"/>
        </w:trPr>
        <w:tc>
          <w:tcPr>
            <w:tcW w:w="117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7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3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1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hyperlink>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Треугольники</w:t>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hyperlink>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Параллельные прямые, сумма углов треугольника</w:t>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hyperlink>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Окружность и круг. Геометрические построения</w:t>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hyperlink>
          </w:p>
        </w:tc>
      </w:tr>
      <w:tr>
        <w:trPr>
          <w:trHeight w:val="144" w:hRule="atLeast"/>
        </w:trPr>
        <w:tc>
          <w:tcPr>
            <w:tcW w:w="117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Повторение, обобщение знаний</w:t>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8 КЛАСС </w:t>
      </w:r>
    </w:p>
    <w:tbl>
      <w:tblPr>
        <w:tblW w:w="13817" w:type="dxa"/>
        <w:jc w:val="left"/>
        <w:tblInd w:w="-8" w:type="dxa"/>
        <w:tblLayout w:type="fixed"/>
        <w:tblCellMar>
          <w:top w:w="50" w:type="dxa"/>
          <w:left w:w="100" w:type="dxa"/>
          <w:bottom w:w="0" w:type="dxa"/>
          <w:right w:w="108" w:type="dxa"/>
        </w:tblCellMar>
        <w:tblLook w:val="04a0"/>
      </w:tblPr>
      <w:tblGrid>
        <w:gridCol w:w="1041"/>
        <w:gridCol w:w="4669"/>
        <w:gridCol w:w="1531"/>
        <w:gridCol w:w="1842"/>
        <w:gridCol w:w="1909"/>
        <w:gridCol w:w="2824"/>
      </w:tblGrid>
      <w:tr>
        <w:trPr>
          <w:trHeight w:val="144" w:hRule="atLeast"/>
        </w:trPr>
        <w:tc>
          <w:tcPr>
            <w:tcW w:w="104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66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8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2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04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66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2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Четырёхугольники</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hyperlink>
          </w:p>
        </w:tc>
      </w:tr>
      <w:tr>
        <w:trPr>
          <w:trHeight w:val="144" w:hRule="atLeast"/>
        </w:trPr>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hyperlink>
          </w:p>
        </w:tc>
      </w:tr>
      <w:tr>
        <w:trPr>
          <w:trHeight w:val="144" w:hRule="atLeast"/>
        </w:trPr>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hyperlink>
          </w:p>
        </w:tc>
      </w:tr>
      <w:tr>
        <w:trPr>
          <w:trHeight w:val="144" w:hRule="atLeast"/>
        </w:trPr>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Теорема Пифагора и начала тригонометрии</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hyperlink>
          </w:p>
        </w:tc>
      </w:tr>
      <w:tr>
        <w:trPr>
          <w:trHeight w:val="144" w:hRule="atLeast"/>
        </w:trPr>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hyperlink>
          </w:p>
        </w:tc>
      </w:tr>
      <w:tr>
        <w:trPr>
          <w:trHeight w:val="144" w:hRule="atLeast"/>
        </w:trPr>
        <w:tc>
          <w:tcPr>
            <w:tcW w:w="1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Повторение, обобщение знаний</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3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9 КЛАСС </w:t>
      </w:r>
    </w:p>
    <w:tbl>
      <w:tblPr>
        <w:tblW w:w="13859" w:type="dxa"/>
        <w:jc w:val="left"/>
        <w:tblInd w:w="-8" w:type="dxa"/>
        <w:tblLayout w:type="fixed"/>
        <w:tblCellMar>
          <w:top w:w="50" w:type="dxa"/>
          <w:left w:w="100" w:type="dxa"/>
          <w:bottom w:w="0" w:type="dxa"/>
          <w:right w:w="108" w:type="dxa"/>
        </w:tblCellMar>
        <w:tblLook w:val="04a0"/>
      </w:tblPr>
      <w:tblGrid>
        <w:gridCol w:w="1148"/>
        <w:gridCol w:w="4563"/>
        <w:gridCol w:w="1584"/>
        <w:gridCol w:w="1842"/>
        <w:gridCol w:w="1910"/>
        <w:gridCol w:w="2811"/>
      </w:tblGrid>
      <w:tr>
        <w:trPr>
          <w:trHeight w:val="144" w:hRule="atLeast"/>
        </w:trPr>
        <w:tc>
          <w:tcPr>
            <w:tcW w:w="114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6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3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81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4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6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811"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16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Преобразование подобия. Метрические соотношения в окружности</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Векторы</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 xml:space="preserve">Декартовы координаты на плоскости </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9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Движения плоскости</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114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56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Повторение, обобщение, систематизация знаний</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6</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8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rPr>
              <w:t>6</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8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200"/>
        <w:rPr/>
      </w:pPr>
      <w:r>
        <w:rPr/>
      </w:r>
      <w:bookmarkStart w:id="11" w:name="block-20867350"/>
      <w:bookmarkStart w:id="12" w:name="block-20867350"/>
      <w:bookmarkEnd w:id="12"/>
    </w:p>
    <w:sectPr>
      <w:type w:val="nextPage"/>
      <w:pgSz w:orient="landscape" w:w="16383" w:h="11906"/>
      <w:pgMar w:left="1701" w:right="850" w:gutter="0" w:header="0" w:top="1134"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86"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786"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bullet"/>
      <w:lvlText w:val=""/>
      <w:lvlJc w:val="left"/>
      <w:pPr>
        <w:tabs>
          <w:tab w:val="num" w:pos="0"/>
        </w:tabs>
        <w:ind w:left="786"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786"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bullet"/>
      <w:lvlText w:val=""/>
      <w:lvlJc w:val="left"/>
      <w:pPr>
        <w:tabs>
          <w:tab w:val="num" w:pos="0"/>
        </w:tabs>
        <w:ind w:left="786"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bullet"/>
      <w:lvlText w:val=""/>
      <w:lvlJc w:val="left"/>
      <w:pPr>
        <w:tabs>
          <w:tab w:val="num" w:pos="0"/>
        </w:tabs>
        <w:ind w:left="786"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bc2523"/>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bc25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5e2e" TargetMode="External"/><Relationship Id="rId3" Type="http://schemas.openxmlformats.org/officeDocument/2006/relationships/hyperlink" Target="https://m.edsoo.ru/7f415e2e" TargetMode="External"/><Relationship Id="rId4" Type="http://schemas.openxmlformats.org/officeDocument/2006/relationships/hyperlink" Target="https://m.edsoo.ru/7f415e2e" TargetMode="External"/><Relationship Id="rId5" Type="http://schemas.openxmlformats.org/officeDocument/2006/relationships/hyperlink" Target="https://m.edsoo.ru/7f415e2e" TargetMode="External"/><Relationship Id="rId6" Type="http://schemas.openxmlformats.org/officeDocument/2006/relationships/hyperlink" Target="https://m.edsoo.ru/7f415e2e" TargetMode="External"/><Relationship Id="rId7" Type="http://schemas.openxmlformats.org/officeDocument/2006/relationships/hyperlink" Target="https://m.edsoo.ru/7f417e18" TargetMode="External"/><Relationship Id="rId8" Type="http://schemas.openxmlformats.org/officeDocument/2006/relationships/hyperlink" Target="https://m.edsoo.ru/7f417e18" TargetMode="External"/><Relationship Id="rId9" Type="http://schemas.openxmlformats.org/officeDocument/2006/relationships/hyperlink" Target="https://m.edsoo.ru/7f417e18" TargetMode="External"/><Relationship Id="rId10" Type="http://schemas.openxmlformats.org/officeDocument/2006/relationships/hyperlink" Target="https://m.edsoo.ru/7f417e18" TargetMode="External"/><Relationship Id="rId11" Type="http://schemas.openxmlformats.org/officeDocument/2006/relationships/hyperlink" Target="https://m.edsoo.ru/7f417e18" TargetMode="External"/><Relationship Id="rId12" Type="http://schemas.openxmlformats.org/officeDocument/2006/relationships/hyperlink" Target="https://m.edsoo.ru/7f417e18" TargetMode="External"/><Relationship Id="rId13" Type="http://schemas.openxmlformats.org/officeDocument/2006/relationships/hyperlink" Target="https://m.edsoo.ru/7f41a12c" TargetMode="External"/><Relationship Id="rId14" Type="http://schemas.openxmlformats.org/officeDocument/2006/relationships/hyperlink" Target="https://m.edsoo.ru/7f41a12c" TargetMode="External"/><Relationship Id="rId15" Type="http://schemas.openxmlformats.org/officeDocument/2006/relationships/hyperlink" Target="https://m.edsoo.ru/7f41a12c" TargetMode="External"/><Relationship Id="rId16" Type="http://schemas.openxmlformats.org/officeDocument/2006/relationships/hyperlink" Target="https://m.edsoo.ru/7f41a12c" TargetMode="External"/><Relationship Id="rId17" Type="http://schemas.openxmlformats.org/officeDocument/2006/relationships/hyperlink" Target="https://m.edsoo.ru/7f41a12c" TargetMode="External"/><Relationship Id="rId18" Type="http://schemas.openxmlformats.org/officeDocument/2006/relationships/hyperlink" Target="https://m.edsoo.ru/7f41a12c" TargetMode="External"/><Relationship Id="rId19" Type="http://schemas.openxmlformats.org/officeDocument/2006/relationships/hyperlink" Target="https://m.edsoo.ru/7f41a12c" TargetMode="Externa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LibreOffice/7.4.4.2$Linux_X86_64 LibreOffice_project/40$Build-2</Application>
  <AppVersion>15.0000</AppVersion>
  <Pages>15</Pages>
  <Words>2606</Words>
  <Characters>19759</Characters>
  <CharactersWithSpaces>22199</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2023-10-17T08:40:00Z</dcterms:created>
  <dc:creator/>
  <dc:description/>
  <dc:language>ru-RU</dc:language>
  <cp:lastModifiedBy/>
  <dcterms:modified xsi:type="dcterms:W3CDTF">2023-10-24T18:10:26Z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